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354B" w14:textId="77777777" w:rsidR="007C4524" w:rsidRDefault="007C4524" w:rsidP="00D24761">
      <w:pPr>
        <w:pStyle w:val="Default"/>
        <w:spacing w:line="120" w:lineRule="auto"/>
        <w:rPr>
          <w:rStyle w:val="A2"/>
          <w:b w:val="0"/>
          <w:bCs w:val="0"/>
          <w:sz w:val="23"/>
          <w:szCs w:val="23"/>
        </w:rPr>
      </w:pPr>
    </w:p>
    <w:p w14:paraId="147646DB" w14:textId="77777777" w:rsidR="006E4569" w:rsidRDefault="006E4569" w:rsidP="00D24761">
      <w:pPr>
        <w:pStyle w:val="Default"/>
        <w:spacing w:line="120" w:lineRule="auto"/>
        <w:rPr>
          <w:rStyle w:val="A2"/>
          <w:b w:val="0"/>
          <w:bCs w:val="0"/>
          <w:sz w:val="23"/>
          <w:szCs w:val="23"/>
        </w:rPr>
      </w:pPr>
    </w:p>
    <w:p w14:paraId="1888F369" w14:textId="77777777" w:rsidR="006E4569" w:rsidRDefault="006E4569" w:rsidP="002412FC">
      <w:pPr>
        <w:pStyle w:val="Default"/>
        <w:spacing w:line="120" w:lineRule="auto"/>
        <w:jc w:val="center"/>
        <w:rPr>
          <w:rStyle w:val="A2"/>
          <w:b w:val="0"/>
          <w:bCs w:val="0"/>
          <w:sz w:val="23"/>
          <w:szCs w:val="23"/>
        </w:rPr>
      </w:pPr>
      <w:r>
        <w:rPr>
          <w:rFonts w:ascii="Univers ATT" w:hAnsi="Univers ATT" w:cs="Univers ATT"/>
          <w:noProof/>
          <w:sz w:val="23"/>
          <w:szCs w:val="23"/>
        </w:rPr>
        <w:drawing>
          <wp:inline distT="0" distB="0" distL="0" distR="0" wp14:anchorId="32C0E59F" wp14:editId="45844AAA">
            <wp:extent cx="8007350" cy="228125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istheLawSP_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779" cy="23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D14B" w14:textId="77777777" w:rsidR="00D24761" w:rsidRDefault="00D24761" w:rsidP="006264E2">
      <w:pPr>
        <w:autoSpaceDE w:val="0"/>
        <w:autoSpaceDN w:val="0"/>
        <w:adjustRightInd w:val="0"/>
        <w:rPr>
          <w:rFonts w:ascii="UniversATT" w:hAnsi="UniversATT" w:cs="UniversATT"/>
          <w:sz w:val="26"/>
          <w:szCs w:val="26"/>
        </w:rPr>
      </w:pPr>
    </w:p>
    <w:p w14:paraId="5CE01564" w14:textId="77777777" w:rsidR="002412FC" w:rsidRPr="00594C33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La ley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prohíbe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federal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discrimine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por 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siguientes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motivos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>:</w:t>
      </w:r>
    </w:p>
    <w:p w14:paraId="1BA193CB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20AF8CE5" w14:textId="77777777" w:rsidR="00DA34BB" w:rsidRPr="00594C33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Contra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individuo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Estados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Unidos por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raza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color,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religión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sexo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(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incluyendo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embarazo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parto</w:t>
      </w:r>
      <w:proofErr w:type="spellEnd"/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r w:rsidRPr="00594C33">
        <w:rPr>
          <w:rFonts w:ascii="UniversATT" w:hAnsi="UniversATT" w:cs="UniversATT"/>
          <w:sz w:val="22"/>
          <w:szCs w:val="22"/>
        </w:rPr>
        <w:t xml:space="preserve">y las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condiciones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médicas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relacionadas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y 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estereotipos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sexuales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estatus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transgénero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y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identidad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género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>),</w:t>
      </w:r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origen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nacional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(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incluyendo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dominio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limitado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),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discapacidad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afiliación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creencia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política</w:t>
      </w:r>
      <w:proofErr w:type="spellEnd"/>
      <w:r w:rsidRPr="00594C33">
        <w:rPr>
          <w:rFonts w:ascii="UniversATT" w:hAnsi="UniversATT" w:cs="UniversATT"/>
          <w:sz w:val="22"/>
          <w:szCs w:val="22"/>
        </w:rPr>
        <w:t>; o</w:t>
      </w:r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</w:p>
    <w:p w14:paraId="09BCDEDF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2DBED4E6" w14:textId="77777777" w:rsidR="002412FC" w:rsidRPr="00594C33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Contra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solicitante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trabajo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participante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capacitación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apoyo</w:t>
      </w:r>
      <w:proofErr w:type="spellEnd"/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I de la ley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Inversión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y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Oportunidad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Fuerza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Laboral (WIOA, por sus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siglas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),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debido</w:t>
      </w:r>
      <w:proofErr w:type="spellEnd"/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r w:rsidRPr="00594C33">
        <w:rPr>
          <w:rFonts w:ascii="UniversATT" w:hAnsi="UniversATT" w:cs="UniversATT"/>
          <w:sz w:val="22"/>
          <w:szCs w:val="22"/>
        </w:rPr>
        <w:t xml:space="preserve">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ciudadanía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o por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participación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I de WIOA.</w:t>
      </w:r>
    </w:p>
    <w:p w14:paraId="0CFA44C3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782CB212" w14:textId="77777777" w:rsidR="002412FC" w:rsidRPr="00594C33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deberá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discriminar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siguientes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áreas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>:</w:t>
      </w:r>
    </w:p>
    <w:p w14:paraId="65B85672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6BD941A2" w14:textId="77777777" w:rsidR="002412FC" w:rsidRPr="00594C33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594C33">
        <w:rPr>
          <w:rFonts w:ascii="UniversATT" w:hAnsi="UniversATT" w:cs="UniversATT"/>
          <w:sz w:val="22"/>
          <w:szCs w:val="22"/>
        </w:rPr>
        <w:t>Decidiendo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quién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será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permitido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participar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tendrá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acceso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apoyo</w:t>
      </w:r>
      <w:proofErr w:type="spellEnd"/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I de WIOA;</w:t>
      </w:r>
    </w:p>
    <w:p w14:paraId="08B7C51D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0D119453" w14:textId="77777777" w:rsidR="002412FC" w:rsidRPr="00594C33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594C33">
        <w:rPr>
          <w:rFonts w:ascii="UniversATT" w:hAnsi="UniversATT" w:cs="UniversATT"/>
          <w:sz w:val="22"/>
          <w:szCs w:val="22"/>
        </w:rPr>
        <w:t>Proporcionando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oportunidades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tratar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persona con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respecto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a un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semejante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>; o</w:t>
      </w:r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tomar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decisiones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empleo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administración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de,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conexión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a un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semejante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>.</w:t>
      </w:r>
    </w:p>
    <w:p w14:paraId="7673DCC3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55E90FE9" w14:textId="77777777" w:rsidR="002412FC" w:rsidRPr="00594C33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beneficiarios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federal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deben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tomar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medidas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razonables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garantizar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las</w:t>
      </w:r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comunicaciones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las personas con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discapacidades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sean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tan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efectivas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como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comunicaciones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demás</w:t>
      </w:r>
      <w:proofErr w:type="spellEnd"/>
      <w:r w:rsidRPr="00594C33">
        <w:rPr>
          <w:rFonts w:ascii="UniversATT" w:hAnsi="UniversATT" w:cs="UniversATT"/>
          <w:sz w:val="22"/>
          <w:szCs w:val="22"/>
        </w:rPr>
        <w:t>.</w:t>
      </w:r>
    </w:p>
    <w:p w14:paraId="69144D36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4AE2FC37" w14:textId="77777777" w:rsidR="00DA34BB" w:rsidRPr="00594C33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594C33">
        <w:rPr>
          <w:rFonts w:ascii="UniversATT" w:hAnsi="UniversATT" w:cs="UniversATT"/>
          <w:sz w:val="22"/>
          <w:szCs w:val="22"/>
        </w:rPr>
        <w:t>Esto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significa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que, 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petición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y sin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costo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alguno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para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individuo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los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están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obligados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proporcionar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ayuda</w:t>
      </w:r>
      <w:proofErr w:type="spellEnd"/>
      <w:r w:rsidR="00DA34BB"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auxiliar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y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servicios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individuos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discapacidades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calificadas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>.</w:t>
      </w:r>
    </w:p>
    <w:p w14:paraId="00F29D88" w14:textId="77777777" w:rsidR="006264E2" w:rsidRPr="00594C33" w:rsidRDefault="006264E2" w:rsidP="005C5C6C">
      <w:pPr>
        <w:autoSpaceDE w:val="0"/>
        <w:autoSpaceDN w:val="0"/>
        <w:adjustRightInd w:val="0"/>
        <w:spacing w:line="120" w:lineRule="auto"/>
        <w:jc w:val="both"/>
        <w:rPr>
          <w:noProof/>
          <w:sz w:val="22"/>
          <w:szCs w:val="22"/>
        </w:rPr>
      </w:pPr>
    </w:p>
    <w:p w14:paraId="76920BD2" w14:textId="77777777" w:rsidR="005C5C6C" w:rsidRDefault="005C5C6C" w:rsidP="00DA34BB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059E4EA7" wp14:editId="253C0641">
            <wp:extent cx="8616950" cy="6840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2862" cy="6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77F1" w14:textId="77777777" w:rsidR="006264E2" w:rsidRPr="007C4524" w:rsidRDefault="006264E2" w:rsidP="00D24761">
      <w:pPr>
        <w:pStyle w:val="Default"/>
        <w:spacing w:line="120" w:lineRule="auto"/>
      </w:pPr>
    </w:p>
    <w:p w14:paraId="33F23949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Si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piensa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ha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discriminado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apoyo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I de WIOA,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puede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más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180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fecha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ocurrió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presunta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violación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ya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sea con:</w:t>
      </w:r>
    </w:p>
    <w:p w14:paraId="6E8C6C19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1C1BFF55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oficial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igualdad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oportunidad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(o la persona que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haya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designado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propósito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>); o</w:t>
      </w:r>
    </w:p>
    <w:p w14:paraId="791F2A48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3BA5F428" w14:textId="77777777" w:rsidR="00DA34BB" w:rsidRPr="00594C33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Director, Civil Rights Center (CRC), U.S. Department of Labor 200 Constitution Avenue NW, Room N-4123, Washington, DC 20210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electrónicamente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como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indica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el sitio web del CRC www.dol.gov/crc.</w:t>
      </w:r>
    </w:p>
    <w:p w14:paraId="689480DD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2420926D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Si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debe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esperar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hasta que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emita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o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pasen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por lo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menos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90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(lo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ocurra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primero), antes de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Centro de Derechos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Civiles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(CRC, por sus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siglas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) a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dirección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mencionada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previamente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>.</w:t>
      </w:r>
    </w:p>
    <w:p w14:paraId="109E27E8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1E6DADA0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Si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no le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entrega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dentro de 90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fecha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.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puede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CRC antes de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decision final. Sin embargo, es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necesario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CRC dentro de 30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fecha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límitada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90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>, (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otras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palabras, dentro de 120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fecha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>).</w:t>
      </w:r>
    </w:p>
    <w:p w14:paraId="70AA8B65" w14:textId="77777777" w:rsidR="00DA34B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59B28B57" w14:textId="77777777" w:rsidR="0047532B" w:rsidRPr="00594C33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594C33">
        <w:rPr>
          <w:rFonts w:ascii="UniversATT" w:hAnsi="UniversATT" w:cs="UniversATT"/>
          <w:sz w:val="22"/>
          <w:szCs w:val="22"/>
        </w:rPr>
        <w:t xml:space="preserve">Si el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emite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pero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está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satisfecho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él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resultado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resolución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puede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CRC.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Usted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debe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su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queja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con el CRC dentro de 30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días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de que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reciba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594C33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594C33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594C33">
        <w:rPr>
          <w:rFonts w:ascii="UniversATT" w:hAnsi="UniversATT" w:cs="UniversATT"/>
          <w:sz w:val="22"/>
          <w:szCs w:val="22"/>
        </w:rPr>
        <w:t>.</w:t>
      </w:r>
    </w:p>
    <w:p w14:paraId="319866F1" w14:textId="77777777" w:rsidR="00DA34BB" w:rsidRPr="005C5C6C" w:rsidRDefault="00DA34BB" w:rsidP="00DA34BB">
      <w:pPr>
        <w:autoSpaceDE w:val="0"/>
        <w:autoSpaceDN w:val="0"/>
        <w:adjustRightInd w:val="0"/>
        <w:rPr>
          <w:sz w:val="23"/>
          <w:szCs w:val="23"/>
        </w:rPr>
      </w:pPr>
    </w:p>
    <w:p w14:paraId="3EB1F954" w14:textId="77777777" w:rsidR="007C4524" w:rsidRDefault="005C5C6C" w:rsidP="007C4524">
      <w:pPr>
        <w:pStyle w:val="P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0AC8BE30" wp14:editId="5234F15B">
            <wp:extent cx="8578850" cy="309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1269" cy="3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D3D2" w14:textId="77777777" w:rsidR="0047532B" w:rsidRPr="0047532B" w:rsidRDefault="0047532B" w:rsidP="0074107F">
      <w:pPr>
        <w:pStyle w:val="Default"/>
        <w:spacing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6730"/>
      </w:tblGrid>
      <w:tr w:rsidR="007C4524" w14:paraId="29C84EA6" w14:textId="77777777" w:rsidTr="0047532B">
        <w:tc>
          <w:tcPr>
            <w:tcW w:w="6887" w:type="dxa"/>
          </w:tcPr>
          <w:p w14:paraId="1CE903FF" w14:textId="77777777" w:rsidR="007C4524" w:rsidRPr="0041758F" w:rsidRDefault="007C4524" w:rsidP="007C4524">
            <w:pPr>
              <w:pStyle w:val="Pa4"/>
              <w:jc w:val="center"/>
              <w:rPr>
                <w:rFonts w:ascii="Univers ATT" w:hAnsi="Univers ATT" w:cs="Univers ATT"/>
                <w:b/>
                <w:bCs/>
                <w:color w:val="000000"/>
              </w:rPr>
            </w:pP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LW</w:t>
            </w:r>
            <w:r w:rsidR="001B0664">
              <w:rPr>
                <w:rFonts w:ascii="Univers ATT" w:hAnsi="Univers ATT" w:cs="Univers ATT"/>
                <w:b/>
                <w:bCs/>
                <w:color w:val="000000"/>
              </w:rPr>
              <w:t>D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A/PA CAREERLINK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  <w:vertAlign w:val="superscript"/>
              </w:rPr>
              <w:t>®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/UCSC</w:t>
            </w:r>
          </w:p>
          <w:p w14:paraId="324B05E9" w14:textId="77777777" w:rsidR="007C4524" w:rsidRPr="0041758F" w:rsidRDefault="00DA34BB" w:rsidP="007C4524">
            <w:pPr>
              <w:pStyle w:val="Pa4"/>
              <w:jc w:val="center"/>
            </w:pPr>
            <w:r>
              <w:rPr>
                <w:rFonts w:ascii="Univers ATT" w:hAnsi="Univers ATT" w:cs="Univers ATT"/>
                <w:b/>
                <w:bCs/>
                <w:color w:val="000000"/>
              </w:rPr>
              <w:t>OFICIAL DE IGUALDAD DE OPORTUNIDAD</w:t>
            </w:r>
          </w:p>
        </w:tc>
        <w:tc>
          <w:tcPr>
            <w:tcW w:w="6865" w:type="dxa"/>
            <w:vAlign w:val="bottom"/>
          </w:tcPr>
          <w:p w14:paraId="032E7EEF" w14:textId="77777777" w:rsidR="007C4524" w:rsidRPr="0041758F" w:rsidRDefault="00DA34BB" w:rsidP="00F47047">
            <w:pPr>
              <w:jc w:val="center"/>
            </w:pPr>
            <w:r>
              <w:rPr>
                <w:rFonts w:ascii="Univers ATT" w:hAnsi="Univers ATT" w:cs="Univers ATT"/>
                <w:b/>
                <w:bCs/>
                <w:color w:val="000000"/>
              </w:rPr>
              <w:t>AGENCIA ESTATAL</w:t>
            </w:r>
          </w:p>
        </w:tc>
      </w:tr>
      <w:tr w:rsidR="007C4524" w14:paraId="630E2E04" w14:textId="77777777" w:rsidTr="0047532B">
        <w:tc>
          <w:tcPr>
            <w:tcW w:w="6887" w:type="dxa"/>
          </w:tcPr>
          <w:p w14:paraId="047DF626" w14:textId="77777777" w:rsidR="007C4524" w:rsidRPr="0047532B" w:rsidRDefault="007C4524" w:rsidP="007C4524">
            <w:pPr>
              <w:rPr>
                <w:sz w:val="23"/>
                <w:szCs w:val="23"/>
              </w:rPr>
            </w:pPr>
          </w:p>
          <w:p w14:paraId="6CE8B031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LWDA:</w:t>
            </w:r>
          </w:p>
          <w:p w14:paraId="35BC4B00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BENJAMIN WINN</w:t>
            </w:r>
          </w:p>
          <w:p w14:paraId="13961AF1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bwinn@pcwia.org</w:t>
            </w:r>
          </w:p>
          <w:p w14:paraId="00943E29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POCONO COUNTIES WDB</w:t>
            </w:r>
            <w:bookmarkStart w:id="0" w:name="_GoBack"/>
            <w:bookmarkEnd w:id="0"/>
          </w:p>
          <w:p w14:paraId="52215D9F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811 BLAKESLEE BOULEVARD DRIVE EAST, SUITE 85</w:t>
            </w:r>
          </w:p>
          <w:p w14:paraId="6511757A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LEHIGHTON, PENNSYLVANIA  18235</w:t>
            </w:r>
          </w:p>
          <w:p w14:paraId="69D4B105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484-464-2494</w:t>
            </w:r>
          </w:p>
          <w:p w14:paraId="1F97F5A5" w14:textId="77777777" w:rsidR="00894599" w:rsidRDefault="00894599" w:rsidP="00894599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FAX: 484-464-2567</w:t>
            </w:r>
          </w:p>
          <w:p w14:paraId="6947C2BD" w14:textId="77777777" w:rsidR="002A2C24" w:rsidRPr="005C5C6C" w:rsidRDefault="002A2C24" w:rsidP="002A2C2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06CDEA" w14:textId="77777777" w:rsidR="002A2C24" w:rsidRPr="005C5C6C" w:rsidRDefault="006B3FF8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 CareerLink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D164A25" w14:textId="77777777" w:rsidR="002A2C24" w:rsidRPr="005C5C6C" w:rsidRDefault="00751054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Pamela Joseph</w:t>
            </w:r>
            <w:r w:rsidR="006B3FF8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2759DD" w14:textId="77777777" w:rsidR="006B3FF8" w:rsidRPr="005C5C6C" w:rsidRDefault="006B3FF8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Supervisor/Equal Opportunity </w:t>
            </w:r>
            <w:r w:rsidR="00F47047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Liaison</w:t>
            </w:r>
          </w:p>
          <w:p w14:paraId="0FAF525F" w14:textId="77777777" w:rsidR="00A04CC2" w:rsidRPr="005C5C6C" w:rsidRDefault="00A04CC2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 CareerLink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1054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Monroe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County</w:t>
            </w:r>
          </w:p>
          <w:p w14:paraId="53F7CD3E" w14:textId="77777777" w:rsidR="006B3FF8" w:rsidRPr="005C5C6C" w:rsidRDefault="00751054" w:rsidP="002A2C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2937 Route 611, Merchants Plaza, Tannersville, PA 18372</w:t>
            </w:r>
          </w:p>
          <w:p w14:paraId="6489AF58" w14:textId="77777777" w:rsidR="002A2C24" w:rsidRPr="005C5C6C" w:rsidRDefault="002A2C24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(570) </w:t>
            </w:r>
            <w:r w:rsidR="00751054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620-2850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Ext. </w:t>
            </w:r>
            <w:r w:rsidR="00751054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323</w:t>
            </w:r>
            <w:r w:rsidR="00F47047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     T</w:t>
            </w:r>
            <w:r w:rsidR="006B3FF8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DD/TTY: 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(570) </w:t>
            </w:r>
            <w:r w:rsidR="00751054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620-2854</w:t>
            </w:r>
          </w:p>
          <w:p w14:paraId="1118AB6C" w14:textId="77777777" w:rsidR="007C4524" w:rsidRPr="0047532B" w:rsidRDefault="006B6C7B" w:rsidP="00092552">
            <w:pPr>
              <w:pStyle w:val="Pa3"/>
              <w:jc w:val="center"/>
              <w:rPr>
                <w:sz w:val="23"/>
                <w:szCs w:val="23"/>
              </w:rPr>
            </w:pPr>
            <w:r w:rsidRPr="005C5C6C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41C198F" wp14:editId="550D53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325755</wp:posOffset>
                  </wp:positionV>
                  <wp:extent cx="222885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415" y="20752"/>
                      <wp:lineTo x="2141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C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Email: </w:t>
            </w:r>
            <w:r w:rsidR="00751054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pamjoseph</w:t>
            </w:r>
            <w:r w:rsidR="002A2C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@pa.gov</w:t>
            </w:r>
          </w:p>
        </w:tc>
        <w:tc>
          <w:tcPr>
            <w:tcW w:w="6865" w:type="dxa"/>
          </w:tcPr>
          <w:p w14:paraId="7A7509A6" w14:textId="77777777" w:rsidR="002A2C24" w:rsidRPr="005C5C6C" w:rsidRDefault="002A2C24" w:rsidP="007C45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</w:p>
          <w:p w14:paraId="77002714" w14:textId="77777777" w:rsidR="007C4524" w:rsidRPr="005C5C6C" w:rsidRDefault="009245B6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JAMES J. KAYER</w:t>
            </w:r>
          </w:p>
          <w:p w14:paraId="5BE81B2E" w14:textId="77777777" w:rsidR="007C4524" w:rsidRPr="005C5C6C" w:rsidRDefault="009245B6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jkayer</w:t>
            </w:r>
            <w:r w:rsidR="007C4524" w:rsidRPr="005C5C6C">
              <w:rPr>
                <w:rStyle w:val="A2"/>
                <w:sz w:val="22"/>
                <w:szCs w:val="22"/>
              </w:rPr>
              <w:t>@</w:t>
            </w:r>
            <w:r w:rsidR="007C45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pa.gov </w:t>
            </w:r>
          </w:p>
          <w:p w14:paraId="7267A9B8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DEPARTMENT OF LABOR &amp; INDUSTRY </w:t>
            </w:r>
          </w:p>
          <w:p w14:paraId="0DE6FB45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OFFICE OF EQUAL OPPORTUNITY </w:t>
            </w:r>
          </w:p>
          <w:p w14:paraId="7142509E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651 BOAS STREET, ROOM 14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02</w:t>
            </w:r>
          </w:p>
          <w:p w14:paraId="181BB357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HARRISBURG, PENNSYLVANIA 17121-0750 </w:t>
            </w:r>
          </w:p>
          <w:p w14:paraId="79BBC07B" w14:textId="77777777" w:rsidR="007C4524" w:rsidRPr="005C5C6C" w:rsidRDefault="0003762C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PHONE: 717-78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7-1182</w:t>
            </w:r>
            <w:r w:rsidR="007C45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OR 800-622-5422 </w:t>
            </w:r>
          </w:p>
          <w:p w14:paraId="32D43182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TDD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/TTY: </w:t>
            </w:r>
            <w:r w:rsidR="0003762C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800-654-5984 FAX: 717-7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72-2321</w:t>
            </w:r>
          </w:p>
          <w:p w14:paraId="117C27C3" w14:textId="77777777" w:rsidR="007C4524" w:rsidRPr="0047532B" w:rsidRDefault="007C4524" w:rsidP="007C4524">
            <w:pPr>
              <w:rPr>
                <w:sz w:val="23"/>
                <w:szCs w:val="23"/>
              </w:rPr>
            </w:pPr>
          </w:p>
        </w:tc>
      </w:tr>
    </w:tbl>
    <w:p w14:paraId="320848EA" w14:textId="77777777" w:rsidR="006B6C7B" w:rsidRDefault="006B6C7B" w:rsidP="006B6C7B">
      <w:pPr>
        <w:spacing w:line="120" w:lineRule="auto"/>
        <w:jc w:val="center"/>
        <w:rPr>
          <w:rFonts w:ascii="Verdana" w:hAnsi="Verdana" w:cs="Verdana"/>
          <w:i/>
          <w:iCs/>
          <w:color w:val="000000"/>
          <w:sz w:val="16"/>
          <w:szCs w:val="16"/>
        </w:rPr>
      </w:pPr>
    </w:p>
    <w:p w14:paraId="02E1FD59" w14:textId="77777777" w:rsidR="009245B6" w:rsidRDefault="006B6C7B" w:rsidP="002A2C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D939B" wp14:editId="4969146B">
                <wp:simplePos x="0" y="0"/>
                <wp:positionH relativeFrom="column">
                  <wp:posOffset>-502920</wp:posOffset>
                </wp:positionH>
                <wp:positionV relativeFrom="paragraph">
                  <wp:posOffset>349885</wp:posOffset>
                </wp:positionV>
                <wp:extent cx="1600200" cy="209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7E6A" w14:textId="5F59EA3B" w:rsidR="00D24761" w:rsidRPr="00D24761" w:rsidRDefault="00D2476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OEO-15</w:t>
                            </w:r>
                            <w:r w:rsidR="001B06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(ESP)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REV 0</w:t>
                            </w:r>
                            <w:r w:rsidR="00051D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3-</w:t>
                            </w:r>
                            <w:r w:rsidR="00594C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93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.6pt;margin-top:27.55pt;width:12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" fillcolor="white [3201]" stroked="f" strokeweight=".5pt">
                <v:textbox>
                  <w:txbxContent>
                    <w:p w14:paraId="25CE7E6A" w14:textId="5F59EA3B" w:rsidR="00D24761" w:rsidRPr="00D24761" w:rsidRDefault="00D2476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OEO-15</w:t>
                      </w:r>
                      <w:r w:rsidR="001B0664">
                        <w:rPr>
                          <w:rFonts w:ascii="Arial" w:hAnsi="Arial" w:cs="Arial"/>
                          <w:sz w:val="14"/>
                          <w:szCs w:val="14"/>
                        </w:rPr>
                        <w:t>(ESP)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REV 0</w:t>
                      </w:r>
                      <w:r w:rsidR="00051D0E">
                        <w:rPr>
                          <w:rFonts w:ascii="Arial" w:hAnsi="Arial" w:cs="Arial"/>
                          <w:sz w:val="14"/>
                          <w:szCs w:val="14"/>
                        </w:rPr>
                        <w:t>3-</w:t>
                      </w:r>
                      <w:r w:rsidR="00594C33">
                        <w:rPr>
                          <w:rFonts w:ascii="Arial" w:hAnsi="Arial" w:cs="Arial"/>
                          <w:sz w:val="14"/>
                          <w:szCs w:val="1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Ayudantes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auxiliaires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y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servicios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estan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disponibles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a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pedido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personas con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discapacidad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.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Programa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oportunidades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igualdad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del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empleador</w:t>
      </w:r>
      <w:proofErr w:type="spellEnd"/>
    </w:p>
    <w:sectPr w:rsidR="009245B6" w:rsidSect="00AF387D">
      <w:pgSz w:w="15840" w:h="24480" w:code="3"/>
      <w:pgMar w:top="432" w:right="1152" w:bottom="432" w:left="1152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A916" w14:textId="77777777" w:rsidR="00730A8F" w:rsidRDefault="00730A8F" w:rsidP="007C4524">
      <w:r>
        <w:separator/>
      </w:r>
    </w:p>
  </w:endnote>
  <w:endnote w:type="continuationSeparator" w:id="0">
    <w:p w14:paraId="34BF64BE" w14:textId="77777777" w:rsidR="00730A8F" w:rsidRDefault="00730A8F" w:rsidP="007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XBd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09CF" w14:textId="77777777" w:rsidR="00730A8F" w:rsidRDefault="00730A8F" w:rsidP="007C4524">
      <w:r>
        <w:separator/>
      </w:r>
    </w:p>
  </w:footnote>
  <w:footnote w:type="continuationSeparator" w:id="0">
    <w:p w14:paraId="1F2D73CB" w14:textId="77777777" w:rsidR="00730A8F" w:rsidRDefault="00730A8F" w:rsidP="007C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24"/>
    <w:rsid w:val="0003762C"/>
    <w:rsid w:val="00051D0E"/>
    <w:rsid w:val="00092552"/>
    <w:rsid w:val="000A430E"/>
    <w:rsid w:val="001162F6"/>
    <w:rsid w:val="001B0664"/>
    <w:rsid w:val="001B6B05"/>
    <w:rsid w:val="001F5BE3"/>
    <w:rsid w:val="00221CD9"/>
    <w:rsid w:val="002412FC"/>
    <w:rsid w:val="002A2C24"/>
    <w:rsid w:val="00301686"/>
    <w:rsid w:val="00325EF0"/>
    <w:rsid w:val="003A50F9"/>
    <w:rsid w:val="003C281D"/>
    <w:rsid w:val="0041758F"/>
    <w:rsid w:val="00431E2D"/>
    <w:rsid w:val="0047532B"/>
    <w:rsid w:val="00495A0E"/>
    <w:rsid w:val="00594C33"/>
    <w:rsid w:val="005C5C6C"/>
    <w:rsid w:val="006264E2"/>
    <w:rsid w:val="0064024E"/>
    <w:rsid w:val="0065250F"/>
    <w:rsid w:val="006A14BF"/>
    <w:rsid w:val="006A6C69"/>
    <w:rsid w:val="006B3FF8"/>
    <w:rsid w:val="006B6C7B"/>
    <w:rsid w:val="006E4569"/>
    <w:rsid w:val="006E6649"/>
    <w:rsid w:val="00730A8F"/>
    <w:rsid w:val="0074107F"/>
    <w:rsid w:val="00751054"/>
    <w:rsid w:val="00770320"/>
    <w:rsid w:val="007B11D5"/>
    <w:rsid w:val="007C4524"/>
    <w:rsid w:val="007D5B8E"/>
    <w:rsid w:val="007F40D9"/>
    <w:rsid w:val="0088107D"/>
    <w:rsid w:val="00894599"/>
    <w:rsid w:val="00914F39"/>
    <w:rsid w:val="009245B6"/>
    <w:rsid w:val="009961EC"/>
    <w:rsid w:val="00A04CC2"/>
    <w:rsid w:val="00A22025"/>
    <w:rsid w:val="00A37474"/>
    <w:rsid w:val="00A91291"/>
    <w:rsid w:val="00AC2F1A"/>
    <w:rsid w:val="00AF387D"/>
    <w:rsid w:val="00C36933"/>
    <w:rsid w:val="00C42D2F"/>
    <w:rsid w:val="00C508CA"/>
    <w:rsid w:val="00CE201B"/>
    <w:rsid w:val="00D24761"/>
    <w:rsid w:val="00D56AF2"/>
    <w:rsid w:val="00DA34BB"/>
    <w:rsid w:val="00F47047"/>
    <w:rsid w:val="00F702E8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56E5"/>
  <w15:docId w15:val="{19D6E509-6258-4EB1-A5C1-AAA0862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524"/>
    <w:pPr>
      <w:autoSpaceDE w:val="0"/>
      <w:autoSpaceDN w:val="0"/>
      <w:adjustRightInd w:val="0"/>
    </w:pPr>
    <w:rPr>
      <w:rFonts w:ascii="GeoSlab703 XBdCn BT" w:hAnsi="GeoSlab703 XBdCn BT" w:cs="GeoSlab703 XBdCn BT"/>
      <w:color w:val="000000"/>
    </w:rPr>
  </w:style>
  <w:style w:type="paragraph" w:customStyle="1" w:styleId="Pa0">
    <w:name w:val="Pa0"/>
    <w:basedOn w:val="Default"/>
    <w:next w:val="Default"/>
    <w:uiPriority w:val="99"/>
    <w:rsid w:val="007C4524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C4524"/>
    <w:rPr>
      <w:rFonts w:ascii="Univers ATT" w:hAnsi="Univers ATT" w:cs="Univers ATT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C4524"/>
    <w:rPr>
      <w:rFonts w:ascii="Univers ATT" w:hAnsi="Univers ATT" w:cs="Univers ATT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24"/>
  </w:style>
  <w:style w:type="paragraph" w:styleId="Footer">
    <w:name w:val="footer"/>
    <w:basedOn w:val="Normal"/>
    <w:link w:val="FooterChar"/>
    <w:uiPriority w:val="99"/>
    <w:unhideWhenUsed/>
    <w:rsid w:val="007C4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24"/>
  </w:style>
  <w:style w:type="table" w:styleId="TableGrid">
    <w:name w:val="Table Grid"/>
    <w:basedOn w:val="TableNormal"/>
    <w:uiPriority w:val="59"/>
    <w:rsid w:val="007C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86ED-E4E4-4802-A475-6DF6861E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Dorinda Getz</dc:creator>
  <cp:lastModifiedBy>Benjamin Winn</cp:lastModifiedBy>
  <cp:revision>3</cp:revision>
  <cp:lastPrinted>2019-04-09T18:11:00Z</cp:lastPrinted>
  <dcterms:created xsi:type="dcterms:W3CDTF">2021-08-30T17:38:00Z</dcterms:created>
  <dcterms:modified xsi:type="dcterms:W3CDTF">2022-04-21T18:29:00Z</dcterms:modified>
</cp:coreProperties>
</file>